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434"/>
      </w:tblGrid>
      <w:tr w:rsidR="009C7FA4" w:rsidRPr="00D46F49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532F38" w:rsidRPr="00231AC3" w:rsidRDefault="00352AEF" w:rsidP="00D46F49">
            <w:pPr>
              <w:spacing w:line="240" w:lineRule="auto"/>
              <w:jc w:val="center"/>
              <w:rPr>
                <w:rFonts w:ascii="方正小标宋_GBK" w:eastAsia="方正小标宋_GBK" w:hAnsi="仿宋"/>
                <w:sz w:val="44"/>
                <w:szCs w:val="44"/>
              </w:rPr>
            </w:pPr>
            <w:r>
              <w:rPr>
                <w:rFonts w:ascii="方正小标宋_GBK" w:eastAsia="方正小标宋_GBK" w:hAnsi="仿宋" w:hint="eastAsia"/>
                <w:sz w:val="44"/>
                <w:szCs w:val="44"/>
              </w:rPr>
              <w:t>2</w:t>
            </w:r>
            <w:r w:rsidR="00E3638C">
              <w:rPr>
                <w:rFonts w:ascii="方正小标宋_GBK" w:eastAsia="方正小标宋_GBK" w:hAnsi="仿宋"/>
                <w:sz w:val="44"/>
                <w:szCs w:val="44"/>
              </w:rPr>
              <w:t>02</w:t>
            </w:r>
            <w:r w:rsidR="00E3638C">
              <w:rPr>
                <w:rFonts w:ascii="方正小标宋_GBK" w:eastAsia="方正小标宋_GBK" w:hAnsi="仿宋" w:hint="eastAsia"/>
                <w:sz w:val="44"/>
                <w:szCs w:val="44"/>
              </w:rPr>
              <w:t>1</w:t>
            </w:r>
            <w:r w:rsidR="009C7FA4" w:rsidRPr="00231AC3">
              <w:rPr>
                <w:rFonts w:ascii="方正小标宋_GBK" w:eastAsia="方正小标宋_GBK" w:hAnsi="仿宋" w:hint="eastAsia"/>
                <w:sz w:val="44"/>
                <w:szCs w:val="44"/>
              </w:rPr>
              <w:t>年</w:t>
            </w:r>
            <w:r w:rsidR="00080C38" w:rsidRPr="00231AC3">
              <w:rPr>
                <w:rFonts w:ascii="方正小标宋_GBK" w:eastAsia="方正小标宋_GBK" w:hAnsi="仿宋" w:hint="eastAsia"/>
                <w:sz w:val="44"/>
                <w:szCs w:val="44"/>
              </w:rPr>
              <w:t>益阳市</w:t>
            </w:r>
            <w:r w:rsidR="009C7FA4" w:rsidRPr="00231AC3">
              <w:rPr>
                <w:rFonts w:ascii="方正小标宋_GBK" w:eastAsia="方正小标宋_GBK" w:hAnsi="仿宋" w:hint="eastAsia"/>
                <w:sz w:val="44"/>
                <w:szCs w:val="44"/>
              </w:rPr>
              <w:t>检察机关</w:t>
            </w:r>
          </w:p>
          <w:p w:rsidR="009C7FA4" w:rsidRPr="00231AC3" w:rsidRDefault="00E3638C" w:rsidP="00D46F49">
            <w:pPr>
              <w:spacing w:line="240" w:lineRule="auto"/>
              <w:jc w:val="center"/>
              <w:rPr>
                <w:rFonts w:ascii="方正小标宋_GBK" w:eastAsia="方正小标宋_GBK" w:hAnsi="仿宋"/>
                <w:sz w:val="44"/>
                <w:szCs w:val="44"/>
              </w:rPr>
            </w:pPr>
            <w:r>
              <w:rPr>
                <w:rFonts w:ascii="方正小标宋_GBK" w:eastAsia="方正小标宋_GBK" w:hAnsi="仿宋" w:hint="eastAsia"/>
                <w:sz w:val="44"/>
                <w:szCs w:val="44"/>
              </w:rPr>
              <w:t>招聘聘用制书记员资格</w:t>
            </w:r>
            <w:r w:rsidR="009C7FA4" w:rsidRPr="00231AC3">
              <w:rPr>
                <w:rFonts w:ascii="方正小标宋_GBK" w:eastAsia="方正小标宋_GBK" w:hAnsi="仿宋" w:hint="eastAsia"/>
                <w:sz w:val="44"/>
                <w:szCs w:val="44"/>
              </w:rPr>
              <w:t>审</w:t>
            </w:r>
            <w:r>
              <w:rPr>
                <w:rFonts w:ascii="方正小标宋_GBK" w:eastAsia="方正小标宋_GBK" w:hAnsi="仿宋" w:hint="eastAsia"/>
                <w:sz w:val="44"/>
                <w:szCs w:val="44"/>
              </w:rPr>
              <w:t>查</w:t>
            </w:r>
            <w:r w:rsidR="009C7FA4" w:rsidRPr="00231AC3">
              <w:rPr>
                <w:rFonts w:ascii="方正小标宋_GBK" w:eastAsia="方正小标宋_GBK" w:hAnsi="仿宋" w:hint="eastAsia"/>
                <w:sz w:val="44"/>
                <w:szCs w:val="44"/>
              </w:rPr>
              <w:t>公告</w:t>
            </w:r>
          </w:p>
          <w:p w:rsidR="00D46F49" w:rsidRPr="00D46F49" w:rsidRDefault="00D46F49" w:rsidP="00D46F49">
            <w:pPr>
              <w:spacing w:line="240" w:lineRule="auto"/>
              <w:ind w:firstLineChars="236" w:firstLine="850"/>
              <w:jc w:val="center"/>
              <w:rPr>
                <w:rFonts w:ascii="方正小标宋_GBK" w:eastAsia="方正小标宋_GBK" w:hAnsi="仿宋"/>
                <w:sz w:val="36"/>
                <w:szCs w:val="36"/>
              </w:rPr>
            </w:pP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根据《湖南省检察机关20</w:t>
            </w:r>
            <w:r w:rsidR="00352AEF">
              <w:rPr>
                <w:rFonts w:ascii="仿宋" w:eastAsia="仿宋" w:hAnsi="仿宋"/>
                <w:sz w:val="32"/>
                <w:szCs w:val="32"/>
              </w:rPr>
              <w:t>20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年公开招聘聘用制书记员公告》要求，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益阳市</w:t>
            </w:r>
            <w:r w:rsidR="00352AEF">
              <w:rPr>
                <w:rFonts w:ascii="仿宋" w:eastAsia="仿宋" w:hAnsi="仿宋" w:hint="eastAsia"/>
                <w:sz w:val="32"/>
                <w:szCs w:val="32"/>
              </w:rPr>
              <w:t>人民检察院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将对拟进入面试的考生进行资格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查，并根据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结果</w:t>
            </w:r>
            <w:r w:rsidR="001C49AF">
              <w:rPr>
                <w:rFonts w:ascii="仿宋" w:eastAsia="仿宋" w:hAnsi="仿宋" w:hint="eastAsia"/>
                <w:sz w:val="32"/>
                <w:szCs w:val="32"/>
              </w:rPr>
              <w:t>确定参加面试的人员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。现就资格审查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有关事项公告如下：</w:t>
            </w:r>
          </w:p>
          <w:p w:rsidR="009C7FA4" w:rsidRPr="00D46F49" w:rsidRDefault="00E3638C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一、参加资格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查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人员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按照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计划招聘人数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1:</w:t>
            </w:r>
            <w:r w:rsidR="00352AEF">
              <w:rPr>
                <w:rFonts w:ascii="仿宋" w:eastAsia="仿宋" w:hAnsi="仿宋"/>
                <w:sz w:val="32"/>
                <w:szCs w:val="32"/>
              </w:rPr>
              <w:t>3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的比例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（计划招聘人数：参加面试的人数</w:t>
            </w:r>
            <w:r w:rsidR="00E812B8" w:rsidRPr="00D46F49">
              <w:rPr>
                <w:rFonts w:ascii="仿宋" w:eastAsia="仿宋" w:hAnsi="仿宋" w:hint="eastAsia"/>
                <w:sz w:val="32"/>
                <w:szCs w:val="32"/>
              </w:rPr>
              <w:t>，区分报考单位</w:t>
            </w:r>
            <w:r w:rsidR="001E3BD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1E7B05"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  <w:r w:rsidR="00E812B8" w:rsidRPr="00D46F49">
              <w:rPr>
                <w:rFonts w:ascii="仿宋" w:eastAsia="仿宋" w:hAnsi="仿宋" w:hint="eastAsia"/>
                <w:sz w:val="32"/>
                <w:szCs w:val="32"/>
              </w:rPr>
              <w:t>分别计算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，从</w:t>
            </w:r>
            <w:r w:rsidR="00352AEF"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成绩合格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（笔试最低分数线为</w:t>
            </w:r>
            <w:r w:rsidR="00352AEF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352AEF">
              <w:rPr>
                <w:rFonts w:ascii="仿宋" w:eastAsia="仿宋" w:hAnsi="仿宋" w:hint="eastAsia"/>
                <w:sz w:val="32"/>
                <w:szCs w:val="32"/>
              </w:rPr>
              <w:t>分</w:t>
            </w:r>
            <w:r w:rsidR="00E3638C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E3638C" w:rsidRPr="00E3638C">
              <w:rPr>
                <w:rFonts w:ascii="仿宋" w:eastAsia="仿宋" w:hAnsi="仿宋" w:hint="eastAsia"/>
                <w:sz w:val="32"/>
                <w:szCs w:val="32"/>
              </w:rPr>
              <w:t>最低分数线公告地址 http://www.mdleader.cn/</w:t>
            </w:r>
            <w:r w:rsidR="00352AEF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的考生中，按笔试成绩从高分到低分确定</w:t>
            </w:r>
            <w:r w:rsidR="00670553">
              <w:rPr>
                <w:rFonts w:ascii="仿宋" w:eastAsia="仿宋" w:hAnsi="仿宋" w:hint="eastAsia"/>
                <w:sz w:val="32"/>
                <w:szCs w:val="32"/>
              </w:rPr>
              <w:t>参加资格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670553">
              <w:rPr>
                <w:rFonts w:ascii="仿宋" w:eastAsia="仿宋" w:hAnsi="仿宋" w:hint="eastAsia"/>
                <w:sz w:val="32"/>
                <w:szCs w:val="32"/>
              </w:rPr>
              <w:t>查</w:t>
            </w:r>
            <w:r w:rsidR="00532F38" w:rsidRPr="00D46F49">
              <w:rPr>
                <w:rFonts w:ascii="仿宋" w:eastAsia="仿宋" w:hAnsi="仿宋" w:hint="eastAsia"/>
                <w:sz w:val="32"/>
                <w:szCs w:val="32"/>
              </w:rPr>
              <w:t>人员</w:t>
            </w:r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，若笔试成绩相同的，技能测试成绩高者进入</w:t>
            </w:r>
            <w:r w:rsidR="00670553">
              <w:rPr>
                <w:rFonts w:ascii="仿宋" w:eastAsia="仿宋" w:hAnsi="仿宋" w:hint="eastAsia"/>
                <w:sz w:val="32"/>
                <w:szCs w:val="32"/>
              </w:rPr>
              <w:t>资格审查</w:t>
            </w:r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（名单见附件）。</w:t>
            </w:r>
          </w:p>
          <w:p w:rsidR="009C7FA4" w:rsidRPr="00D46F49" w:rsidRDefault="00E3638C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二、资格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查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="00C13E13">
              <w:rPr>
                <w:rFonts w:ascii="仿宋" w:eastAsia="仿宋" w:hAnsi="仿宋"/>
                <w:sz w:val="32"/>
                <w:szCs w:val="32"/>
              </w:rPr>
              <w:t>2</w:t>
            </w:r>
            <w:r w:rsidR="00865680">
              <w:rPr>
                <w:rFonts w:ascii="仿宋" w:eastAsia="仿宋" w:hAnsi="仿宋"/>
                <w:sz w:val="32"/>
                <w:szCs w:val="32"/>
              </w:rPr>
              <w:t>1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至4月9日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，8:30-12:00；14：30-1</w:t>
            </w:r>
            <w:r w:rsidR="001C49AF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:00。</w:t>
            </w:r>
          </w:p>
          <w:p w:rsidR="009C7FA4" w:rsidRPr="00D46F49" w:rsidRDefault="00E3638C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三、资格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查</w:t>
            </w:r>
            <w:r w:rsidR="009C7FA4" w:rsidRPr="00D46F49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  <w:p w:rsidR="00D46F49" w:rsidRDefault="000727B1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考生到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益阳市人民检察院办公楼4楼4</w:t>
            </w:r>
            <w:r w:rsidR="00C13E13">
              <w:rPr>
                <w:rFonts w:ascii="仿宋" w:eastAsia="仿宋" w:hAnsi="仿宋"/>
                <w:sz w:val="32"/>
                <w:szCs w:val="32"/>
              </w:rPr>
              <w:t>30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办公室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进行资格</w:t>
            </w:r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审</w:t>
            </w:r>
            <w:r w:rsidR="006C11E3">
              <w:rPr>
                <w:rFonts w:ascii="仿宋" w:eastAsia="仿宋" w:hAnsi="仿宋" w:hint="eastAsia"/>
                <w:sz w:val="32"/>
                <w:szCs w:val="32"/>
              </w:rPr>
              <w:t>查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，联系电话：0</w:t>
            </w:r>
            <w:r w:rsidR="00C13E13">
              <w:rPr>
                <w:rFonts w:ascii="仿宋" w:eastAsia="仿宋" w:hAnsi="仿宋"/>
                <w:sz w:val="32"/>
                <w:szCs w:val="32"/>
              </w:rPr>
              <w:t>737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C13E13">
              <w:rPr>
                <w:rFonts w:ascii="仿宋" w:eastAsia="仿宋" w:hAnsi="仿宋"/>
                <w:sz w:val="32"/>
                <w:szCs w:val="32"/>
              </w:rPr>
              <w:t>6100282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 w:rsidRPr="00D46F49">
              <w:rPr>
                <w:rFonts w:ascii="黑体" w:eastAsia="黑体" w:hAnsi="黑体" w:hint="eastAsia"/>
                <w:sz w:val="32"/>
                <w:szCs w:val="32"/>
              </w:rPr>
              <w:t>四、需携带的材料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1.本人有效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二代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居民身份证原件及复印件</w:t>
            </w:r>
            <w:r w:rsidR="001E3BDF">
              <w:rPr>
                <w:rFonts w:ascii="仿宋" w:eastAsia="仿宋" w:hAnsi="仿宋" w:hint="eastAsia"/>
                <w:sz w:val="32"/>
                <w:szCs w:val="32"/>
              </w:rPr>
              <w:t>各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1份。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2.</w:t>
            </w:r>
            <w:r w:rsidR="0090030F" w:rsidRPr="00D46F49"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准考证原件及复印件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各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1份</w:t>
            </w:r>
            <w:r w:rsidR="0090030F" w:rsidRPr="00D46F49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D46F49">
              <w:rPr>
                <w:rFonts w:ascii="仿宋" w:eastAsia="仿宋" w:hAnsi="仿宋" w:hint="eastAsia"/>
                <w:sz w:val="32"/>
                <w:szCs w:val="32"/>
              </w:rPr>
              <w:t>如已遗失，</w:t>
            </w:r>
            <w:r w:rsidR="0090030F" w:rsidRPr="00D46F49">
              <w:rPr>
                <w:rFonts w:ascii="仿宋" w:eastAsia="仿宋" w:hAnsi="仿宋" w:hint="eastAsia"/>
                <w:sz w:val="32"/>
                <w:szCs w:val="32"/>
              </w:rPr>
              <w:t>可在</w:t>
            </w:r>
            <w:r w:rsidR="00C13E13">
              <w:rPr>
                <w:rFonts w:ascii="仿宋" w:eastAsia="仿宋" w:hAnsi="仿宋" w:hint="eastAsia"/>
                <w:sz w:val="32"/>
                <w:szCs w:val="32"/>
              </w:rPr>
              <w:t>报名系统再次打印</w:t>
            </w:r>
            <w:r w:rsidR="0090030F" w:rsidRPr="00D46F49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3.考生</w:t>
            </w:r>
            <w:r w:rsidR="008A086E">
              <w:rPr>
                <w:rFonts w:ascii="仿宋" w:eastAsia="仿宋" w:hAnsi="仿宋" w:hint="eastAsia"/>
                <w:sz w:val="32"/>
                <w:szCs w:val="32"/>
              </w:rPr>
              <w:t>学历学位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证原件及复印件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各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1份（应届高校毕业生尚未取得毕业证的需出具所在院校盖章的《全日制高校应届毕业生就业推荐表》及《学生证》）。</w:t>
            </w:r>
          </w:p>
          <w:p w:rsidR="00D46F49" w:rsidRDefault="00F3745A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.《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46002">
              <w:rPr>
                <w:rFonts w:ascii="仿宋" w:eastAsia="仿宋" w:hAnsi="仿宋"/>
                <w:sz w:val="32"/>
                <w:szCs w:val="32"/>
              </w:rPr>
              <w:t>020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年湖南省检察机关聘用制书记员报名登记表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》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份（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可在报名系统下载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打印）。</w:t>
            </w:r>
          </w:p>
          <w:p w:rsidR="009C7FA4" w:rsidRPr="00D46F49" w:rsidRDefault="00F3745A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.有工作单位的报考人员须开具所在单位</w:t>
            </w:r>
            <w:r w:rsidR="00046002">
              <w:rPr>
                <w:rFonts w:ascii="仿宋" w:eastAsia="仿宋" w:hAnsi="仿宋" w:hint="eastAsia"/>
                <w:sz w:val="32"/>
                <w:szCs w:val="32"/>
              </w:rPr>
              <w:t>具有人事管理权限部门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同意报考的书面证明。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 w:rsidRPr="00D46F49">
              <w:rPr>
                <w:rFonts w:ascii="黑体" w:eastAsia="黑体" w:hAnsi="黑体" w:hint="eastAsia"/>
                <w:sz w:val="32"/>
                <w:szCs w:val="32"/>
              </w:rPr>
              <w:t>五、注意事项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 w:rsidR="00CF1D62">
              <w:rPr>
                <w:rFonts w:ascii="仿宋" w:eastAsia="仿宋" w:hAnsi="仿宋" w:hint="eastAsia"/>
                <w:sz w:val="32"/>
                <w:szCs w:val="32"/>
              </w:rPr>
              <w:t>考生需本人到现场进行资格审查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2.考生提供资料应真实、完整，与报考时填写的信息相符。凡有关材料主要信息不实的，取消该报考人员参加面试的资格。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3.</w:t>
            </w:r>
            <w:r w:rsidR="00CF1D62">
              <w:rPr>
                <w:rFonts w:ascii="仿宋" w:eastAsia="仿宋" w:hAnsi="仿宋" w:hint="eastAsia"/>
                <w:sz w:val="32"/>
                <w:szCs w:val="32"/>
              </w:rPr>
              <w:t>不按规定时间、地点和要求参加资格审查的，视为自动放弃资格审查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，不得进入面试。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 w:rsidRPr="00D46F49">
              <w:rPr>
                <w:rFonts w:ascii="黑体" w:eastAsia="黑体" w:hAnsi="黑体" w:hint="eastAsia"/>
                <w:sz w:val="32"/>
                <w:szCs w:val="32"/>
              </w:rPr>
              <w:t>六、递补</w:t>
            </w:r>
          </w:p>
          <w:p w:rsidR="009C7FA4" w:rsidRPr="00D46F49" w:rsidRDefault="000727B1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因报考人员放弃或资格审查不合格而</w:t>
            </w:r>
            <w:r w:rsidR="00CF1D62">
              <w:rPr>
                <w:rFonts w:ascii="仿宋" w:eastAsia="仿宋" w:hAnsi="仿宋" w:hint="eastAsia"/>
                <w:sz w:val="32"/>
                <w:szCs w:val="32"/>
              </w:rPr>
              <w:t>形成面试人员空缺的，按笔试成绩从高到低的顺序依次递补参加资格审查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680809">
              <w:rPr>
                <w:rFonts w:ascii="仿宋" w:eastAsia="仿宋" w:hAnsi="仿宋" w:hint="eastAsia"/>
                <w:sz w:val="32"/>
                <w:szCs w:val="32"/>
              </w:rPr>
              <w:t>笔试最低分数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成绩低于</w:t>
            </w:r>
            <w:r w:rsidR="00680809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D53A6F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分的，</w:t>
            </w:r>
            <w:proofErr w:type="gramStart"/>
            <w:r w:rsidRPr="00D46F49">
              <w:rPr>
                <w:rFonts w:ascii="仿宋" w:eastAsia="仿宋" w:hAnsi="仿宋" w:hint="eastAsia"/>
                <w:sz w:val="32"/>
                <w:szCs w:val="32"/>
              </w:rPr>
              <w:t>不</w:t>
            </w:r>
            <w:proofErr w:type="gramEnd"/>
            <w:r w:rsidRPr="00D46F49">
              <w:rPr>
                <w:rFonts w:ascii="仿宋" w:eastAsia="仿宋" w:hAnsi="仿宋" w:hint="eastAsia"/>
                <w:sz w:val="32"/>
                <w:szCs w:val="32"/>
              </w:rPr>
              <w:t>递补）。笔试成绩相同的，按技能测试成绩排名确定递补人员。笔试成绩和技能测试成绩均相同的，按并列排序一同递补。递补不再发布公告，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由</w:t>
            </w:r>
            <w:r w:rsidR="00680809">
              <w:rPr>
                <w:rFonts w:ascii="仿宋" w:eastAsia="仿宋" w:hAnsi="仿宋" w:hint="eastAsia"/>
                <w:sz w:val="32"/>
                <w:szCs w:val="32"/>
              </w:rPr>
              <w:t>益阳市人民检察院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直接电话通知考生。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请考生保持报名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时提供的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手机号码畅通，递补时如连续拨打三次均处于停机、关机、不在服务区或接通后无人接听等导致无法联系者，责任自负，并将由后一名依次递补。</w:t>
            </w:r>
          </w:p>
          <w:p w:rsidR="009C7FA4" w:rsidRPr="00D46F49" w:rsidRDefault="009C7FA4" w:rsidP="00D46F49">
            <w:pPr>
              <w:spacing w:line="240" w:lineRule="auto"/>
              <w:ind w:firstLineChars="236" w:firstLine="755"/>
              <w:rPr>
                <w:rFonts w:ascii="黑体" w:eastAsia="黑体" w:hAnsi="黑体"/>
                <w:sz w:val="32"/>
                <w:szCs w:val="32"/>
              </w:rPr>
            </w:pPr>
            <w:r w:rsidRPr="00D46F49">
              <w:rPr>
                <w:rFonts w:ascii="黑体" w:eastAsia="黑体" w:hAnsi="黑体" w:hint="eastAsia"/>
                <w:sz w:val="32"/>
                <w:szCs w:val="32"/>
              </w:rPr>
              <w:t>七、面试</w:t>
            </w:r>
          </w:p>
          <w:p w:rsidR="000727B1" w:rsidRPr="00D46F49" w:rsidRDefault="00CF1D62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资格审查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合格人员确定为面试人员</w:t>
            </w:r>
            <w:r w:rsidR="000727B1" w:rsidRPr="00D46F49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9C7FA4" w:rsidRPr="00D46F49" w:rsidRDefault="000727B1" w:rsidP="00D46F49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 w:rsidRPr="00D46F49">
              <w:rPr>
                <w:rFonts w:ascii="仿宋" w:eastAsia="仿宋" w:hAnsi="仿宋" w:hint="eastAsia"/>
                <w:sz w:val="32"/>
                <w:szCs w:val="32"/>
              </w:rPr>
              <w:t>具体面试安排见面试公告。请考生密切关注</w:t>
            </w:r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益阳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市</w:t>
            </w:r>
            <w:proofErr w:type="gramStart"/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人民</w:t>
            </w:r>
            <w:r w:rsidRPr="00D46F49">
              <w:rPr>
                <w:rFonts w:ascii="仿宋" w:eastAsia="仿宋" w:hAnsi="仿宋" w:hint="eastAsia"/>
                <w:sz w:val="32"/>
                <w:szCs w:val="32"/>
              </w:rPr>
              <w:t>检察院</w:t>
            </w:r>
            <w:r w:rsidR="0093546A" w:rsidRPr="00D46F49">
              <w:rPr>
                <w:rFonts w:ascii="仿宋" w:eastAsia="仿宋" w:hAnsi="仿宋" w:hint="eastAsia"/>
                <w:sz w:val="32"/>
                <w:szCs w:val="32"/>
              </w:rPr>
              <w:t>官网信息</w:t>
            </w:r>
            <w:proofErr w:type="gramEnd"/>
            <w:r w:rsidR="00D46F49" w:rsidRPr="00D46F49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hyperlink r:id="rId6" w:history="1">
              <w:r w:rsidR="00D46F49" w:rsidRPr="00D46F49">
                <w:rPr>
                  <w:rStyle w:val="a5"/>
                  <w:rFonts w:ascii="仿宋" w:eastAsia="仿宋" w:hAnsi="仿宋"/>
                  <w:sz w:val="32"/>
                  <w:szCs w:val="32"/>
                </w:rPr>
                <w:t>http://www.yiyang.jcy.gov.cn</w:t>
              </w:r>
            </w:hyperlink>
            <w:r w:rsidR="00D46F49" w:rsidRPr="00D46F49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231AC3" w:rsidRDefault="00231AC3" w:rsidP="00231AC3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</w:p>
          <w:p w:rsidR="009C7FA4" w:rsidRPr="00D46F49" w:rsidRDefault="00CF1D62" w:rsidP="00231AC3">
            <w:pPr>
              <w:spacing w:line="240" w:lineRule="auto"/>
              <w:ind w:firstLineChars="236" w:firstLine="755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附件：资格审查</w:t>
            </w:r>
            <w:r w:rsidR="009C7FA4" w:rsidRPr="00D46F49">
              <w:rPr>
                <w:rFonts w:ascii="仿宋" w:eastAsia="仿宋" w:hAnsi="仿宋" w:hint="eastAsia"/>
                <w:sz w:val="32"/>
                <w:szCs w:val="32"/>
              </w:rPr>
              <w:t>人员名单</w:t>
            </w:r>
          </w:p>
        </w:tc>
      </w:tr>
    </w:tbl>
    <w:p w:rsidR="00D46F49" w:rsidRDefault="00D46F49" w:rsidP="00D46F49">
      <w:pPr>
        <w:spacing w:line="240" w:lineRule="auto"/>
        <w:ind w:firstLineChars="1336" w:firstLine="4275"/>
        <w:rPr>
          <w:rFonts w:ascii="仿宋" w:eastAsia="仿宋" w:hAnsi="仿宋"/>
          <w:sz w:val="32"/>
          <w:szCs w:val="32"/>
        </w:rPr>
      </w:pPr>
    </w:p>
    <w:p w:rsidR="00D46F49" w:rsidRDefault="00D46F49" w:rsidP="00D46F49">
      <w:pPr>
        <w:spacing w:line="240" w:lineRule="auto"/>
        <w:ind w:firstLineChars="1336" w:firstLine="4275"/>
        <w:rPr>
          <w:rFonts w:ascii="仿宋" w:eastAsia="仿宋" w:hAnsi="仿宋"/>
          <w:sz w:val="32"/>
          <w:szCs w:val="32"/>
        </w:rPr>
      </w:pPr>
    </w:p>
    <w:p w:rsidR="00D46F49" w:rsidRDefault="00D46F49" w:rsidP="00D46F49">
      <w:pPr>
        <w:spacing w:line="240" w:lineRule="auto"/>
        <w:ind w:firstLineChars="1336" w:firstLine="4275"/>
        <w:rPr>
          <w:rFonts w:ascii="仿宋" w:eastAsia="仿宋" w:hAnsi="仿宋"/>
          <w:sz w:val="32"/>
          <w:szCs w:val="32"/>
        </w:rPr>
      </w:pPr>
    </w:p>
    <w:p w:rsidR="006A3601" w:rsidRPr="00D46F49" w:rsidRDefault="0093546A" w:rsidP="00D46F49">
      <w:pPr>
        <w:spacing w:line="240" w:lineRule="auto"/>
        <w:ind w:firstLineChars="1336" w:firstLine="4275"/>
        <w:rPr>
          <w:rFonts w:ascii="仿宋" w:eastAsia="仿宋" w:hAnsi="仿宋"/>
          <w:sz w:val="32"/>
          <w:szCs w:val="32"/>
        </w:rPr>
      </w:pPr>
      <w:r w:rsidRPr="00D46F49">
        <w:rPr>
          <w:rFonts w:ascii="仿宋" w:eastAsia="仿宋" w:hAnsi="仿宋" w:hint="eastAsia"/>
          <w:sz w:val="32"/>
          <w:szCs w:val="32"/>
        </w:rPr>
        <w:t>益阳市</w:t>
      </w:r>
      <w:r w:rsidR="006A3601" w:rsidRPr="00D46F49">
        <w:rPr>
          <w:rFonts w:ascii="仿宋" w:eastAsia="仿宋" w:hAnsi="仿宋" w:hint="eastAsia"/>
          <w:sz w:val="32"/>
          <w:szCs w:val="32"/>
        </w:rPr>
        <w:t>人民检察院</w:t>
      </w:r>
    </w:p>
    <w:p w:rsidR="006A3601" w:rsidRPr="00D46F49" w:rsidRDefault="007A7E6B" w:rsidP="00D46F49">
      <w:pPr>
        <w:spacing w:line="240" w:lineRule="auto"/>
        <w:ind w:firstLineChars="236" w:firstLine="7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6A3601" w:rsidRPr="00D46F49">
        <w:rPr>
          <w:rFonts w:ascii="仿宋" w:eastAsia="仿宋" w:hAnsi="仿宋" w:hint="eastAsia"/>
          <w:sz w:val="32"/>
          <w:szCs w:val="32"/>
        </w:rPr>
        <w:t>20</w:t>
      </w:r>
      <w:r w:rsidR="00680809">
        <w:rPr>
          <w:rFonts w:ascii="仿宋" w:eastAsia="仿宋" w:hAnsi="仿宋"/>
          <w:sz w:val="32"/>
          <w:szCs w:val="32"/>
        </w:rPr>
        <w:t>21</w:t>
      </w:r>
      <w:r w:rsidR="006A3601" w:rsidRPr="00D46F49">
        <w:rPr>
          <w:rFonts w:ascii="仿宋" w:eastAsia="仿宋" w:hAnsi="仿宋" w:hint="eastAsia"/>
          <w:sz w:val="32"/>
          <w:szCs w:val="32"/>
        </w:rPr>
        <w:t>年</w:t>
      </w:r>
      <w:r w:rsidR="00680809">
        <w:rPr>
          <w:rFonts w:ascii="仿宋" w:eastAsia="仿宋" w:hAnsi="仿宋"/>
          <w:sz w:val="32"/>
          <w:szCs w:val="32"/>
        </w:rPr>
        <w:t>4</w:t>
      </w:r>
      <w:r w:rsidR="006A3601" w:rsidRPr="00D46F49">
        <w:rPr>
          <w:rFonts w:ascii="仿宋" w:eastAsia="仿宋" w:hAnsi="仿宋" w:hint="eastAsia"/>
          <w:sz w:val="32"/>
          <w:szCs w:val="32"/>
        </w:rPr>
        <w:t>月</w:t>
      </w:r>
      <w:r w:rsidR="00680809">
        <w:rPr>
          <w:rFonts w:ascii="仿宋" w:eastAsia="仿宋" w:hAnsi="仿宋"/>
          <w:sz w:val="32"/>
          <w:szCs w:val="32"/>
        </w:rPr>
        <w:t>7</w:t>
      </w:r>
      <w:r w:rsidR="006A3601" w:rsidRPr="00D46F49">
        <w:rPr>
          <w:rFonts w:ascii="仿宋" w:eastAsia="仿宋" w:hAnsi="仿宋" w:hint="eastAsia"/>
          <w:sz w:val="32"/>
          <w:szCs w:val="32"/>
        </w:rPr>
        <w:t>日</w:t>
      </w:r>
    </w:p>
    <w:p w:rsidR="006C4743" w:rsidRDefault="006C4743" w:rsidP="00F67022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sectPr w:rsidR="006C4743" w:rsidSect="006C4743">
      <w:pgSz w:w="11906" w:h="16838" w:code="9"/>
      <w:pgMar w:top="113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10" w:rsidRDefault="00141D10" w:rsidP="009C7FA4">
      <w:pPr>
        <w:spacing w:line="240" w:lineRule="auto"/>
      </w:pPr>
      <w:r>
        <w:separator/>
      </w:r>
    </w:p>
  </w:endnote>
  <w:endnote w:type="continuationSeparator" w:id="0">
    <w:p w:rsidR="00141D10" w:rsidRDefault="00141D10" w:rsidP="009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10" w:rsidRDefault="00141D10" w:rsidP="009C7FA4">
      <w:pPr>
        <w:spacing w:line="240" w:lineRule="auto"/>
      </w:pPr>
      <w:r>
        <w:separator/>
      </w:r>
    </w:p>
  </w:footnote>
  <w:footnote w:type="continuationSeparator" w:id="0">
    <w:p w:rsidR="00141D10" w:rsidRDefault="00141D10" w:rsidP="009C7F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FA4"/>
    <w:rsid w:val="00000384"/>
    <w:rsid w:val="00013CAA"/>
    <w:rsid w:val="00036B82"/>
    <w:rsid w:val="00046002"/>
    <w:rsid w:val="000727B1"/>
    <w:rsid w:val="00080C38"/>
    <w:rsid w:val="000A50D5"/>
    <w:rsid w:val="000D4FB1"/>
    <w:rsid w:val="001129D9"/>
    <w:rsid w:val="001260AA"/>
    <w:rsid w:val="00141D10"/>
    <w:rsid w:val="001C49AF"/>
    <w:rsid w:val="001E3BDF"/>
    <w:rsid w:val="001E7B05"/>
    <w:rsid w:val="00231AC3"/>
    <w:rsid w:val="00285AE8"/>
    <w:rsid w:val="00292BB6"/>
    <w:rsid w:val="002E6B92"/>
    <w:rsid w:val="00304028"/>
    <w:rsid w:val="0030443F"/>
    <w:rsid w:val="003114BD"/>
    <w:rsid w:val="003474C4"/>
    <w:rsid w:val="00352AEF"/>
    <w:rsid w:val="003A7AAA"/>
    <w:rsid w:val="003E69C7"/>
    <w:rsid w:val="004135DE"/>
    <w:rsid w:val="004178C1"/>
    <w:rsid w:val="00433018"/>
    <w:rsid w:val="00435562"/>
    <w:rsid w:val="00454B76"/>
    <w:rsid w:val="004B6C29"/>
    <w:rsid w:val="004F4146"/>
    <w:rsid w:val="00532F38"/>
    <w:rsid w:val="00534626"/>
    <w:rsid w:val="0056072D"/>
    <w:rsid w:val="0056618E"/>
    <w:rsid w:val="005D39C8"/>
    <w:rsid w:val="005E5C6C"/>
    <w:rsid w:val="00604F8E"/>
    <w:rsid w:val="00612E75"/>
    <w:rsid w:val="00657CFF"/>
    <w:rsid w:val="00670553"/>
    <w:rsid w:val="00680809"/>
    <w:rsid w:val="006A115F"/>
    <w:rsid w:val="006A3601"/>
    <w:rsid w:val="006C11E3"/>
    <w:rsid w:val="006C4743"/>
    <w:rsid w:val="0070448C"/>
    <w:rsid w:val="0072163F"/>
    <w:rsid w:val="007A54B6"/>
    <w:rsid w:val="007A7E6B"/>
    <w:rsid w:val="007F554B"/>
    <w:rsid w:val="0081513A"/>
    <w:rsid w:val="00865680"/>
    <w:rsid w:val="008911D5"/>
    <w:rsid w:val="008A086E"/>
    <w:rsid w:val="008C6413"/>
    <w:rsid w:val="0090030F"/>
    <w:rsid w:val="009053EF"/>
    <w:rsid w:val="0093546A"/>
    <w:rsid w:val="00955F06"/>
    <w:rsid w:val="00962869"/>
    <w:rsid w:val="00963CF2"/>
    <w:rsid w:val="009B21BE"/>
    <w:rsid w:val="009B640D"/>
    <w:rsid w:val="009C7FA4"/>
    <w:rsid w:val="009D209E"/>
    <w:rsid w:val="009E70FC"/>
    <w:rsid w:val="009E7458"/>
    <w:rsid w:val="00A3220F"/>
    <w:rsid w:val="00AA7883"/>
    <w:rsid w:val="00AC06D7"/>
    <w:rsid w:val="00AF4709"/>
    <w:rsid w:val="00B21026"/>
    <w:rsid w:val="00B27FEA"/>
    <w:rsid w:val="00B44730"/>
    <w:rsid w:val="00B62807"/>
    <w:rsid w:val="00BA3928"/>
    <w:rsid w:val="00C13E13"/>
    <w:rsid w:val="00C23684"/>
    <w:rsid w:val="00C60BF4"/>
    <w:rsid w:val="00CB3C44"/>
    <w:rsid w:val="00CC5FCD"/>
    <w:rsid w:val="00CF1D62"/>
    <w:rsid w:val="00D071DB"/>
    <w:rsid w:val="00D204BD"/>
    <w:rsid w:val="00D46F49"/>
    <w:rsid w:val="00D53A6F"/>
    <w:rsid w:val="00DB5137"/>
    <w:rsid w:val="00DF11D8"/>
    <w:rsid w:val="00E3638C"/>
    <w:rsid w:val="00E72F94"/>
    <w:rsid w:val="00E812B8"/>
    <w:rsid w:val="00E85D55"/>
    <w:rsid w:val="00E915E4"/>
    <w:rsid w:val="00EC1D28"/>
    <w:rsid w:val="00F04602"/>
    <w:rsid w:val="00F3745A"/>
    <w:rsid w:val="00F45CD2"/>
    <w:rsid w:val="00F509AB"/>
    <w:rsid w:val="00F67022"/>
    <w:rsid w:val="00F8715B"/>
    <w:rsid w:val="00FA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F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FA4"/>
    <w:rPr>
      <w:sz w:val="18"/>
      <w:szCs w:val="18"/>
    </w:rPr>
  </w:style>
  <w:style w:type="character" w:styleId="a5">
    <w:name w:val="Hyperlink"/>
    <w:basedOn w:val="a0"/>
    <w:uiPriority w:val="99"/>
    <w:unhideWhenUsed/>
    <w:rsid w:val="009C7FA4"/>
    <w:rPr>
      <w:color w:val="0000FF"/>
      <w:u w:val="single"/>
    </w:rPr>
  </w:style>
  <w:style w:type="paragraph" w:customStyle="1" w:styleId="p">
    <w:name w:val="p"/>
    <w:basedOn w:val="a"/>
    <w:rsid w:val="004135D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178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78C1"/>
    <w:rPr>
      <w:sz w:val="18"/>
      <w:szCs w:val="18"/>
    </w:rPr>
  </w:style>
  <w:style w:type="table" w:styleId="a7">
    <w:name w:val="Table Grid"/>
    <w:basedOn w:val="a1"/>
    <w:uiPriority w:val="59"/>
    <w:unhideWhenUsed/>
    <w:rsid w:val="00F670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304">
          <w:marLeft w:val="0"/>
          <w:marRight w:val="0"/>
          <w:marTop w:val="0"/>
          <w:marBottom w:val="0"/>
          <w:divBdr>
            <w:top w:val="single" w:sz="12" w:space="0" w:color="3366FF"/>
            <w:left w:val="single" w:sz="6" w:space="11" w:color="3366FF"/>
            <w:bottom w:val="single" w:sz="6" w:space="11" w:color="3366FF"/>
            <w:right w:val="single" w:sz="6" w:space="11" w:color="3366FF"/>
          </w:divBdr>
          <w:divsChild>
            <w:div w:id="19070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706">
                  <w:marLeft w:val="0"/>
                  <w:marRight w:val="0"/>
                  <w:marTop w:val="225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iyang.jcy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93</cp:revision>
  <cp:lastPrinted>2021-04-07T02:02:00Z</cp:lastPrinted>
  <dcterms:created xsi:type="dcterms:W3CDTF">2019-07-30T09:25:00Z</dcterms:created>
  <dcterms:modified xsi:type="dcterms:W3CDTF">2021-04-07T02:09:00Z</dcterms:modified>
</cp:coreProperties>
</file>