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86" w:rsidRDefault="000C626F" w:rsidP="000C626F">
      <w:pPr>
        <w:widowControl/>
        <w:spacing w:before="100" w:beforeAutospacing="1" w:after="100" w:afterAutospacing="1" w:line="300" w:lineRule="atLeast"/>
        <w:jc w:val="center"/>
        <w:outlineLvl w:val="1"/>
        <w:rPr>
          <w:rFonts w:ascii="黑体" w:eastAsia="黑体" w:hAnsi="微软雅黑" w:cs="宋体" w:hint="eastAsia"/>
          <w:color w:val="323E32"/>
          <w:kern w:val="0"/>
          <w:sz w:val="44"/>
          <w:szCs w:val="44"/>
        </w:rPr>
      </w:pPr>
      <w:r w:rsidRPr="00CB7486">
        <w:rPr>
          <w:rFonts w:ascii="黑体" w:eastAsia="黑体" w:hAnsi="微软雅黑" w:cs="宋体" w:hint="eastAsia"/>
          <w:color w:val="323E32"/>
          <w:kern w:val="0"/>
          <w:sz w:val="44"/>
          <w:szCs w:val="44"/>
        </w:rPr>
        <w:t>人民法院审理人民检察院提起公益诉讼</w:t>
      </w:r>
    </w:p>
    <w:p w:rsidR="000C626F" w:rsidRPr="00CB7486" w:rsidRDefault="000C626F" w:rsidP="000C626F">
      <w:pPr>
        <w:widowControl/>
        <w:spacing w:before="100" w:beforeAutospacing="1" w:after="100" w:afterAutospacing="1" w:line="300" w:lineRule="atLeast"/>
        <w:jc w:val="center"/>
        <w:outlineLvl w:val="1"/>
        <w:rPr>
          <w:rFonts w:ascii="黑体" w:eastAsia="黑体" w:hAnsi="微软雅黑" w:cs="宋体" w:hint="eastAsia"/>
          <w:color w:val="323E32"/>
          <w:kern w:val="0"/>
          <w:sz w:val="44"/>
          <w:szCs w:val="44"/>
        </w:rPr>
      </w:pPr>
      <w:r w:rsidRPr="00CB7486">
        <w:rPr>
          <w:rFonts w:ascii="黑体" w:eastAsia="黑体" w:hAnsi="微软雅黑" w:cs="宋体" w:hint="eastAsia"/>
          <w:color w:val="323E32"/>
          <w:kern w:val="0"/>
          <w:sz w:val="44"/>
          <w:szCs w:val="44"/>
        </w:rPr>
        <w:t>案件试点工作实施办法</w:t>
      </w:r>
    </w:p>
    <w:p w:rsidR="000C626F" w:rsidRPr="00CB7486" w:rsidRDefault="000C626F" w:rsidP="00CB7486">
      <w:pPr>
        <w:pStyle w:val="a5"/>
        <w:spacing w:line="360" w:lineRule="auto"/>
        <w:jc w:val="center"/>
        <w:rPr>
          <w:rFonts w:ascii="仿宋_GB2312" w:eastAsia="仿宋_GB2312" w:hAnsi="simsun" w:hint="eastAsia"/>
          <w:color w:val="323E32"/>
          <w:sz w:val="28"/>
          <w:szCs w:val="28"/>
        </w:rPr>
      </w:pPr>
      <w:r w:rsidRPr="00CB7486">
        <w:rPr>
          <w:rFonts w:ascii="仿宋_GB2312" w:eastAsia="仿宋_GB2312" w:hAnsi="simsun" w:hint="eastAsia"/>
          <w:color w:val="323E32"/>
          <w:sz w:val="28"/>
          <w:szCs w:val="28"/>
        </w:rPr>
        <w:t>法发〔2016〕6号</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仿宋_GB2312" w:eastAsia="仿宋_GB2312" w:hAnsi="simsun" w:hint="eastAsia"/>
          <w:color w:val="323E32"/>
          <w:sz w:val="32"/>
          <w:szCs w:val="32"/>
        </w:rPr>
        <w:t>各省、自治区、直辖市高级人民法院，解放军军事法院，新疆维吾尔自治区高级人民法院生产建设兵团分院：</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为全面贯彻落实党的十八届四中全会精神，完成中央部署的探索检察机关提起公益诉讼的司法改革任务，保障人民检察院提起公益诉讼案件的正确审理，根据《全国人民代表大会常务委员会关于授权最高人民检察院在部分地区开展公益诉讼试点工作的决定》，我院制定了《人民法院审理人民检察院提起公益诉讼案件试点工作实施办法》。该实施办法已于2016年2月22日由最高人民法院审判委员会第1679次会议通过，现予印发，自2016年3月1日起施行，请各试点地区人民法院认真贯彻执行。对于执行中遇到的重要情况和问题，请及时报告最高人民法院。</w:t>
      </w:r>
    </w:p>
    <w:p w:rsidR="000C626F" w:rsidRPr="00CB7486" w:rsidRDefault="000C626F" w:rsidP="00CB7486">
      <w:pPr>
        <w:pStyle w:val="a5"/>
        <w:spacing w:line="360" w:lineRule="auto"/>
        <w:jc w:val="right"/>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最高人民法院</w:t>
      </w:r>
      <w:r w:rsidRPr="00CB7486">
        <w:rPr>
          <w:rFonts w:ascii="simsun" w:eastAsia="仿宋_GB2312" w:hAnsi="simsun" w:hint="eastAsia"/>
          <w:color w:val="323E32"/>
          <w:sz w:val="32"/>
          <w:szCs w:val="32"/>
        </w:rPr>
        <w:t> </w:t>
      </w:r>
    </w:p>
    <w:p w:rsidR="000C626F" w:rsidRPr="00CB7486" w:rsidRDefault="000C626F" w:rsidP="00CB7486">
      <w:pPr>
        <w:pStyle w:val="a5"/>
        <w:spacing w:line="360" w:lineRule="auto"/>
        <w:jc w:val="right"/>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2016年2月25日</w:t>
      </w:r>
      <w:r w:rsidRPr="00CB7486">
        <w:rPr>
          <w:rFonts w:ascii="simsun" w:eastAsia="仿宋_GB2312" w:hAnsi="simsun" w:hint="eastAsia"/>
          <w:color w:val="323E32"/>
          <w:sz w:val="32"/>
          <w:szCs w:val="32"/>
        </w:rPr>
        <w:t> </w:t>
      </w:r>
    </w:p>
    <w:p w:rsidR="00CB7486" w:rsidRDefault="000C626F" w:rsidP="000C626F">
      <w:pPr>
        <w:pStyle w:val="a5"/>
        <w:spacing w:line="360" w:lineRule="auto"/>
        <w:rPr>
          <w:rFonts w:ascii="simsun" w:eastAsia="仿宋_GB2312" w:hAnsi="simsun" w:hint="eastAsia"/>
          <w:color w:val="323E32"/>
          <w:sz w:val="32"/>
          <w:szCs w:val="32"/>
        </w:rPr>
      </w:pPr>
      <w:r w:rsidRPr="00CB7486">
        <w:rPr>
          <w:rFonts w:ascii="simsun" w:eastAsia="仿宋_GB2312" w:hAnsi="simsun" w:hint="eastAsia"/>
          <w:color w:val="323E32"/>
          <w:sz w:val="32"/>
          <w:szCs w:val="32"/>
        </w:rPr>
        <w:t>    </w:t>
      </w:r>
    </w:p>
    <w:p w:rsidR="000C626F" w:rsidRPr="00CB7486" w:rsidRDefault="000C626F" w:rsidP="00CB7486">
      <w:pPr>
        <w:pStyle w:val="a5"/>
        <w:spacing w:line="360" w:lineRule="auto"/>
        <w:ind w:firstLineChars="200" w:firstLine="640"/>
        <w:rPr>
          <w:rFonts w:ascii="仿宋_GB2312" w:eastAsia="仿宋_GB2312" w:hAnsi="simsun" w:hint="eastAsia"/>
          <w:color w:val="323E32"/>
          <w:sz w:val="32"/>
          <w:szCs w:val="32"/>
        </w:rPr>
      </w:pPr>
      <w:r w:rsidRPr="00CB7486">
        <w:rPr>
          <w:rFonts w:ascii="仿宋_GB2312" w:eastAsia="仿宋_GB2312" w:hAnsi="simsun" w:hint="eastAsia"/>
          <w:color w:val="323E32"/>
          <w:sz w:val="32"/>
          <w:szCs w:val="32"/>
        </w:rPr>
        <w:lastRenderedPageBreak/>
        <w:t>为贯彻实施《全国人民代表大会常务委员会关于授权最高人民检察院在部分地区开展公益诉讼试点工作的决定》，依法审理人民检察院提起的公益诉讼案件，依据《中华人民共和国民事诉讼法》《中华人民共和国行政诉讼法》等法律的规定，结合审判工作实际，制定本办法。</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一、民事公益诉讼</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第一条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检察院认为被告有污染环境、破坏生态、在食品药品安全领域侵害众多消费者合法权益等损害社会公共利益的行为，在没有适格主体提起诉讼或者适格主体不提起诉讼的情况下，向人民法院提起民事公益诉讼，符合民事诉讼法第一百一十九条第二项、第三项、第四项规定的，人民法院应当登记立案。</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第二条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人民检察院提起民事公益诉讼应当提交下列材料：</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（一）符合民事诉讼法第一百二十一条规定的起诉状，并按照被告人数提出副本；</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（二）污染环境、破坏生态、在食品药品安全领域侵害众多消费者合法权益等损害社会公共利益行为的初步证明材料；</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lastRenderedPageBreak/>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（三）人民检察院已经履行督促或者支持法律规定的机关或有关组织提起民事公益诉讼的诉前程序的证明材料。</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第三条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人民检察院提起民事公益诉讼，可以提出要求被告停止侵害、排除妨碍、消除危险、恢复原状、赔偿损失、赔礼道歉等诉讼请求。</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第四条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人民检察院以公益诉讼人身份提起民事公益诉讼，诉讼权利义务参照民事诉讼法关于原告诉讼权利义务的规定。民事公益诉讼的被告是被诉实施损害社会公共利益行为的公民、法人或者其他组织。</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第五条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人民检察院提起的第一审民事公益诉讼案件由侵害行为发生地、损害结果地或者被告住所地的中级人民法院管辖，但法律、司法解释另有规定的除外。</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第六条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人民法院审理人民检察院提起的民事公益诉讼案件，被告提出反诉请求的，不予受理。</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第七条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人民法院审理人民检察院提起的第一审民事公益诉讼案件，原则上适用人民陪审制。</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当事人申请不适用人民陪审制审理的，人民法院经审查可以决定不适用人民陪审制审理。</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lastRenderedPageBreak/>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第八条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人民检察院与被告达成和解协议或者调解协议后，人民法院应当将协议内容公告，公告期间不少于三十日。</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公告期满后，人民法院审查认为和解协议或者调解协议内容不损害社会公共利益的，应当出具调解书。</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第九条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人民检察院在法庭辩论终结前申请撤诉，或者在法庭辩论终结后，人民检察院的诉讼请求全部实现，申请撤诉的，应予准许。</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第十条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对于人民法院作出的民事公益诉讼判决、裁定，当事人依法提起上诉、人民检察院依法提起抗诉或者其他当事人依法申请再审且符合民事诉讼法第二百条规定的，分别按照民事诉讼法规定的第二审程序、审判监督程序审理。</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二、行政公益诉讼</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第十一条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检察院认为在生态环境和资源保护、国有资产保护、国有土地使用权出让等领域负有监督管理职责的行政机关或者法律、法规、规章授权的组织违法行使职权或不履行法定职责，造成国家和社会公共利益受到侵害，向人民法院提起行政公益诉讼，符合行政诉讼法第四十九条第二项、第三项、第四项规定的，人民法院应当登记立案。</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lastRenderedPageBreak/>
        <w:t>   </w:t>
      </w:r>
      <w:r w:rsidR="00CB7486">
        <w:rPr>
          <w:rFonts w:ascii="simsun" w:eastAsia="仿宋_GB2312" w:hAnsi="simsun" w:hint="eastAsia"/>
          <w:color w:val="323E32"/>
          <w:sz w:val="32"/>
          <w:szCs w:val="32"/>
        </w:rPr>
        <w:t xml:space="preserve">  </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第十二条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人民检察院提起行政公益诉讼应当提交下列材料：</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（一）行政公益诉讼起诉状，并按照被告人数提出副本；</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（二）被告的行为造成国家和社会公共利益受到侵害的初步证明材料；</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（三）人民检察院已经履行向相关行政机关提出检察建议、督促其纠正违法行政行为或者依法履行职责的诉前程序的证明材料。</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第十三条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人民检察院提起行政公益诉讼，可以向人民法院提出撤销或者部分撤销违法行政行为、在一定期限内履行法定职责、确认行政行为违法或者无效等诉讼请求。</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第十四条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检察院以公益诉讼人身份提起行政公益诉讼，诉讼权利义务参照行政诉讼法关于原告诉讼权利义务的规定。行政公益诉讼的被告是生态环境和资源保护、国有资产保护、国有土地使用权出让等领域行使职权或者负有行政职责的行政机关，以及法律、法规、规章授权的组织。</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第十五条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人民检察院提起的第一审行政公益诉讼案件由最初作出行政行为的行政机关所在地基层人民法院管辖。经复议的案件，也可以由复议机关所在地基层人民法院管辖。</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lastRenderedPageBreak/>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人民检察院对国务院部门或者县级以上地方人民政府所作的行政行为提起公益诉讼的案件以及本辖区内重大、复杂的公益诉讼案件由中级人民法院管辖。</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第十六条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人民法院审理人民检察院提起的第一审行政公益诉讼案件，原则上适用人民陪审制。</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第十七条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人民法院审理人民检察院提起的行政公益诉讼案件，不适用调解。</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第十八条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人民法院对行政公益诉讼案件宣告判决或者裁定前，人民检察院申请撤诉的，是否准许，由人民法院裁定。</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第十九条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对于人民法院作出的行政公益诉讼判决、裁定，当事人依法提起上诉、人民检察院依法提起抗诉或者其他当事人申请再审且符合行政诉讼法第九十一条规定的，分别按照行政诉讼法规定的第二审程序、审判监督程序审理。</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三、其他规定</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第二十条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人民法院审理人民检察院提起的公益诉讼案件，应当依法公开进行。人民法院可以邀请人大代表、政协委员等旁听庭审，并可以通过庭审直播录播等方式满足公众</w:t>
      </w:r>
      <w:r w:rsidRPr="00CB7486">
        <w:rPr>
          <w:rFonts w:ascii="仿宋_GB2312" w:eastAsia="仿宋_GB2312" w:hAnsi="simsun" w:hint="eastAsia"/>
          <w:color w:val="323E32"/>
          <w:sz w:val="32"/>
          <w:szCs w:val="32"/>
        </w:rPr>
        <w:lastRenderedPageBreak/>
        <w:t>和媒体了解庭审实况的需要。裁判文书应当按照有关规定在互联网上公开发布。</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第二十一条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人民法院审理人民检察院提起的公益诉讼案件，认为应当提出司法建议的，按照《最高人民法院关于加强司法建议工作的意见》办理。</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第二十二条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人民法院审理人民检察院提起的公益诉讼案件，人民检察院免交《诉讼费用交纳办法》第六条规定的诉讼费用。</w:t>
      </w:r>
    </w:p>
    <w:p w:rsidR="000C626F" w:rsidRPr="00CB7486" w:rsidRDefault="000C626F" w:rsidP="000C626F">
      <w:pPr>
        <w:pStyle w:val="a5"/>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第二十三条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人民法院审理人民检察院提起的公益诉讼案件，本办法没有规定的，适用《中华人民共和国民事诉讼法》《中华人民共和国行政诉讼法》及相关司法解释的规定。</w:t>
      </w:r>
    </w:p>
    <w:p w:rsidR="000C626F" w:rsidRPr="00CB7486" w:rsidRDefault="000C626F" w:rsidP="000C626F">
      <w:pPr>
        <w:pStyle w:val="a5"/>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四、附则</w:t>
      </w:r>
    </w:p>
    <w:p w:rsidR="000C626F" w:rsidRPr="00CB7486" w:rsidRDefault="000C626F" w:rsidP="000C626F">
      <w:pPr>
        <w:pStyle w:val="a5"/>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第二十四条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本办法适用于北京、内蒙古、吉林、江苏、安徽、福建、山东、湖北、广东、贵州、云南、陕西、甘肃等十三个省、自治区、直辖市。</w:t>
      </w:r>
    </w:p>
    <w:p w:rsidR="000C626F" w:rsidRPr="00CB7486" w:rsidRDefault="000C626F" w:rsidP="000C626F">
      <w:pPr>
        <w:pStyle w:val="a5"/>
        <w:spacing w:line="360" w:lineRule="auto"/>
        <w:rPr>
          <w:rFonts w:ascii="仿宋_GB2312" w:eastAsia="仿宋_GB2312" w:hAnsi="simsun" w:hint="eastAsia"/>
          <w:color w:val="323E32"/>
          <w:sz w:val="32"/>
          <w:szCs w:val="32"/>
        </w:rPr>
      </w:pPr>
      <w:r w:rsidRPr="00CB7486">
        <w:rPr>
          <w:rFonts w:ascii="simsun" w:eastAsia="仿宋_GB2312" w:hAnsi="simsun" w:hint="eastAsia"/>
          <w:color w:val="323E32"/>
          <w:sz w:val="32"/>
          <w:szCs w:val="32"/>
        </w:rPr>
        <w:t>    </w:t>
      </w:r>
      <w:r w:rsidR="00CB7486">
        <w:rPr>
          <w:rFonts w:ascii="simsun" w:eastAsia="仿宋_GB2312" w:hAnsi="simsun" w:hint="eastAsia"/>
          <w:color w:val="323E32"/>
          <w:sz w:val="32"/>
          <w:szCs w:val="32"/>
        </w:rPr>
        <w:t xml:space="preserve">  </w:t>
      </w:r>
      <w:r w:rsidRPr="00CB7486">
        <w:rPr>
          <w:rFonts w:ascii="仿宋_GB2312" w:eastAsia="仿宋_GB2312" w:hAnsi="simsun" w:hint="eastAsia"/>
          <w:color w:val="323E32"/>
          <w:sz w:val="32"/>
          <w:szCs w:val="32"/>
        </w:rPr>
        <w:t>第二十五条</w:t>
      </w:r>
      <w:r w:rsidRPr="00CB7486">
        <w:rPr>
          <w:rFonts w:ascii="simsun" w:eastAsia="仿宋_GB2312" w:hAnsi="simsun" w:hint="eastAsia"/>
          <w:color w:val="323E32"/>
          <w:sz w:val="32"/>
          <w:szCs w:val="32"/>
        </w:rPr>
        <w:t> </w:t>
      </w:r>
      <w:r w:rsidRPr="00CB7486">
        <w:rPr>
          <w:rFonts w:ascii="仿宋_GB2312" w:eastAsia="仿宋_GB2312" w:hAnsi="simsun" w:hint="eastAsia"/>
          <w:color w:val="323E32"/>
          <w:sz w:val="32"/>
          <w:szCs w:val="32"/>
        </w:rPr>
        <w:t>本办法自2016年3月1日起施行。</w:t>
      </w:r>
    </w:p>
    <w:p w:rsidR="008314AF" w:rsidRPr="000C626F" w:rsidRDefault="008314AF"/>
    <w:sectPr w:rsidR="008314AF" w:rsidRPr="000C626F" w:rsidSect="008314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47B" w:rsidRDefault="0090047B" w:rsidP="000C626F">
      <w:r>
        <w:separator/>
      </w:r>
    </w:p>
  </w:endnote>
  <w:endnote w:type="continuationSeparator" w:id="1">
    <w:p w:rsidR="0090047B" w:rsidRDefault="0090047B" w:rsidP="000C62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47B" w:rsidRDefault="0090047B" w:rsidP="000C626F">
      <w:r>
        <w:separator/>
      </w:r>
    </w:p>
  </w:footnote>
  <w:footnote w:type="continuationSeparator" w:id="1">
    <w:p w:rsidR="0090047B" w:rsidRDefault="0090047B" w:rsidP="000C62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626F"/>
    <w:rsid w:val="000C626F"/>
    <w:rsid w:val="003337D3"/>
    <w:rsid w:val="008314AF"/>
    <w:rsid w:val="0090047B"/>
    <w:rsid w:val="009C7ABF"/>
    <w:rsid w:val="00CB74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2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62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626F"/>
    <w:rPr>
      <w:sz w:val="18"/>
      <w:szCs w:val="18"/>
    </w:rPr>
  </w:style>
  <w:style w:type="paragraph" w:styleId="a4">
    <w:name w:val="footer"/>
    <w:basedOn w:val="a"/>
    <w:link w:val="Char0"/>
    <w:uiPriority w:val="99"/>
    <w:semiHidden/>
    <w:unhideWhenUsed/>
    <w:rsid w:val="000C62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626F"/>
    <w:rPr>
      <w:sz w:val="18"/>
      <w:szCs w:val="18"/>
    </w:rPr>
  </w:style>
  <w:style w:type="paragraph" w:styleId="a5">
    <w:name w:val="Normal (Web)"/>
    <w:basedOn w:val="a"/>
    <w:uiPriority w:val="99"/>
    <w:semiHidden/>
    <w:unhideWhenUsed/>
    <w:rsid w:val="000C62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139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441</Words>
  <Characters>2519</Characters>
  <Application>Microsoft Office Word</Application>
  <DocSecurity>0</DocSecurity>
  <Lines>20</Lines>
  <Paragraphs>5</Paragraphs>
  <ScaleCrop>false</ScaleCrop>
  <Company>China</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单飞</dc:creator>
  <cp:keywords/>
  <dc:description/>
  <cp:lastModifiedBy>王珊</cp:lastModifiedBy>
  <cp:revision>4</cp:revision>
  <cp:lastPrinted>2017-07-07T10:30:00Z</cp:lastPrinted>
  <dcterms:created xsi:type="dcterms:W3CDTF">2017-07-07T02:16:00Z</dcterms:created>
  <dcterms:modified xsi:type="dcterms:W3CDTF">2017-07-07T10:32:00Z</dcterms:modified>
</cp:coreProperties>
</file>